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both"/>
        <w:rPr>
          <w:rFonts w:ascii="仿宋" w:hAnsi="仿宋" w:eastAsia="仿宋" w:cs="Times New Roman"/>
          <w:color w:val="000000"/>
          <w:kern w:val="2"/>
          <w:sz w:val="24"/>
          <w:szCs w:val="24"/>
        </w:rPr>
      </w:pPr>
      <w:bookmarkStart w:id="0" w:name="_GoBack"/>
      <w:bookmarkEnd w:id="0"/>
      <w:r>
        <w:rPr>
          <w:rFonts w:ascii="仿宋" w:hAnsi="仿宋" w:eastAsia="仿宋" w:cs="Times New Roman"/>
          <w:color w:val="000000"/>
          <w:kern w:val="2"/>
          <w:sz w:val="24"/>
          <w:szCs w:val="24"/>
        </w:rPr>
        <w:t>证券代码：301010</w:t>
      </w:r>
      <w:r>
        <w:rPr>
          <w:rFonts w:ascii="仿宋" w:hAnsi="仿宋" w:eastAsia="仿宋" w:cs="Times New Roman"/>
          <w:color w:val="000000"/>
          <w:kern w:val="2"/>
          <w:sz w:val="24"/>
          <w:szCs w:val="24"/>
        </w:rPr>
        <w:tab/>
      </w:r>
      <w:r>
        <w:rPr>
          <w:rFonts w:hint="eastAsia" w:ascii="仿宋" w:hAnsi="仿宋" w:eastAsia="仿宋" w:cs="Times New Roman"/>
          <w:color w:val="000000"/>
          <w:kern w:val="2"/>
          <w:sz w:val="24"/>
          <w:szCs w:val="24"/>
        </w:rPr>
        <w:t xml:space="preserve">      </w:t>
      </w:r>
      <w:r>
        <w:rPr>
          <w:rFonts w:ascii="仿宋" w:hAnsi="仿宋" w:eastAsia="仿宋" w:cs="Times New Roman"/>
          <w:color w:val="000000"/>
          <w:kern w:val="2"/>
          <w:sz w:val="24"/>
          <w:szCs w:val="24"/>
        </w:rPr>
        <w:t>证券简称：</w:t>
      </w:r>
      <w:r>
        <w:rPr>
          <w:rFonts w:hint="eastAsia" w:ascii="仿宋" w:hAnsi="仿宋" w:eastAsia="仿宋" w:cs="Times New Roman"/>
          <w:color w:val="000000"/>
          <w:kern w:val="2"/>
          <w:sz w:val="24"/>
          <w:szCs w:val="24"/>
        </w:rPr>
        <w:t>晶雪节能</w:t>
      </w:r>
      <w:r>
        <w:rPr>
          <w:rFonts w:ascii="仿宋" w:hAnsi="仿宋" w:eastAsia="仿宋" w:cs="Times New Roman"/>
          <w:color w:val="000000"/>
          <w:kern w:val="2"/>
          <w:sz w:val="24"/>
          <w:szCs w:val="24"/>
        </w:rPr>
        <w:tab/>
      </w:r>
      <w:r>
        <w:rPr>
          <w:rFonts w:hint="eastAsia" w:ascii="仿宋" w:hAnsi="仿宋" w:eastAsia="仿宋" w:cs="Times New Roman"/>
          <w:color w:val="000000"/>
          <w:kern w:val="2"/>
          <w:sz w:val="24"/>
          <w:szCs w:val="24"/>
        </w:rPr>
        <w:t xml:space="preserve">   </w:t>
      </w:r>
      <w:r>
        <w:rPr>
          <w:rFonts w:ascii="仿宋" w:hAnsi="仿宋" w:eastAsia="仿宋" w:cs="Times New Roman"/>
          <w:color w:val="000000"/>
          <w:kern w:val="2"/>
          <w:sz w:val="24"/>
          <w:szCs w:val="24"/>
        </w:rPr>
        <w:t>公告编号：2021-0</w:t>
      </w:r>
      <w:r>
        <w:rPr>
          <w:rFonts w:hint="eastAsia" w:ascii="仿宋" w:hAnsi="仿宋" w:eastAsia="仿宋" w:cs="Times New Roman"/>
          <w:color w:val="000000"/>
          <w:kern w:val="2"/>
          <w:sz w:val="24"/>
          <w:szCs w:val="24"/>
        </w:rPr>
        <w:t>34</w:t>
      </w:r>
    </w:p>
    <w:p>
      <w:pPr>
        <w:adjustRightInd w:val="0"/>
        <w:spacing w:line="360" w:lineRule="auto"/>
        <w:jc w:val="center"/>
        <w:rPr>
          <w:rFonts w:ascii="仿宋" w:hAnsi="仿宋" w:eastAsia="仿宋" w:cs="Times New Roman"/>
          <w:color w:val="000000"/>
          <w:kern w:val="2"/>
          <w:sz w:val="24"/>
          <w:szCs w:val="24"/>
        </w:rPr>
      </w:pPr>
    </w:p>
    <w:p>
      <w:pPr>
        <w:autoSpaceDE/>
        <w:autoSpaceDN/>
        <w:snapToGrid w:val="0"/>
        <w:spacing w:before="156" w:beforeLines="50" w:line="360" w:lineRule="auto"/>
        <w:jc w:val="center"/>
        <w:rPr>
          <w:rFonts w:ascii="仿宋" w:hAnsi="仿宋" w:eastAsia="仿宋" w:cs="Times New Roman"/>
          <w:b/>
          <w:color w:val="000000"/>
          <w:kern w:val="2"/>
          <w:sz w:val="24"/>
          <w:szCs w:val="24"/>
        </w:rPr>
      </w:pPr>
      <w:r>
        <w:rPr>
          <w:rFonts w:hint="eastAsia" w:ascii="仿宋" w:hAnsi="仿宋" w:eastAsia="仿宋" w:cs="Times New Roman"/>
          <w:b/>
          <w:color w:val="000000"/>
          <w:kern w:val="2"/>
          <w:sz w:val="24"/>
          <w:szCs w:val="24"/>
        </w:rPr>
        <w:t>江苏晶雪节能科技股份有限公司</w:t>
      </w:r>
    </w:p>
    <w:p>
      <w:pPr>
        <w:autoSpaceDE/>
        <w:autoSpaceDN/>
        <w:snapToGrid w:val="0"/>
        <w:spacing w:before="156" w:beforeLines="50" w:line="360" w:lineRule="auto"/>
        <w:jc w:val="center"/>
        <w:rPr>
          <w:rFonts w:ascii="仿宋" w:hAnsi="仿宋" w:eastAsia="仿宋" w:cs="Times New Roman"/>
          <w:b/>
          <w:color w:val="000000"/>
          <w:kern w:val="2"/>
          <w:sz w:val="24"/>
          <w:szCs w:val="24"/>
        </w:rPr>
      </w:pPr>
      <w:r>
        <w:rPr>
          <w:rFonts w:hint="eastAsia" w:ascii="仿宋" w:hAnsi="仿宋" w:eastAsia="仿宋" w:cs="Times New Roman"/>
          <w:b/>
          <w:color w:val="000000"/>
          <w:kern w:val="2"/>
          <w:sz w:val="24"/>
          <w:szCs w:val="24"/>
        </w:rPr>
        <w:t>关于设立分公司的公告</w:t>
      </w:r>
    </w:p>
    <w:tbl>
      <w:tblPr>
        <w:tblStyle w:val="10"/>
        <w:tblpPr w:leftFromText="180" w:rightFromText="180" w:vertAnchor="text" w:horzAnchor="page" w:tblpX="1849" w:tblpY="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8522" w:type="dxa"/>
            <w:tcBorders>
              <w:top w:val="single" w:color="auto" w:sz="4" w:space="0"/>
              <w:left w:val="single" w:color="auto" w:sz="4" w:space="0"/>
              <w:bottom w:val="single" w:color="auto" w:sz="4" w:space="0"/>
              <w:right w:val="single" w:color="auto" w:sz="4" w:space="0"/>
            </w:tcBorders>
          </w:tcPr>
          <w:p>
            <w:pPr>
              <w:widowControl/>
              <w:spacing w:line="440" w:lineRule="exact"/>
              <w:ind w:firstLine="480" w:firstLineChars="200"/>
              <w:rPr>
                <w:rFonts w:ascii="楷体" w:hAnsi="楷体" w:eastAsia="楷体"/>
                <w:color w:val="000000"/>
                <w:sz w:val="24"/>
                <w:szCs w:val="24"/>
              </w:rPr>
            </w:pPr>
            <w:r>
              <w:rPr>
                <w:rFonts w:hint="eastAsia" w:ascii="楷体" w:hAnsi="楷体" w:eastAsia="楷体"/>
                <w:color w:val="000000"/>
                <w:sz w:val="24"/>
                <w:szCs w:val="24"/>
              </w:rPr>
              <w:t>本公司及董事会全体成员保证信息披露内容的真实、准确和完整，没有虚假记载、误导性陈述或重大遗漏。</w:t>
            </w:r>
          </w:p>
        </w:tc>
      </w:tr>
    </w:tbl>
    <w:p>
      <w:pPr>
        <w:widowControl/>
        <w:autoSpaceDE/>
        <w:autoSpaceDN/>
        <w:spacing w:line="440" w:lineRule="exact"/>
        <w:jc w:val="both"/>
        <w:rPr>
          <w:b/>
          <w:sz w:val="24"/>
          <w:szCs w:val="24"/>
        </w:rPr>
      </w:pPr>
    </w:p>
    <w:p>
      <w:pPr>
        <w:tabs>
          <w:tab w:val="left" w:pos="1260"/>
        </w:tabs>
        <w:adjustRightInd w:val="0"/>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江苏晶雪节能科技股份有限公司（以下简称“公司”）于2021年12月8日召开了第二届董事会第十五次会议，审议通过关于设立北京分公司、成都分公司、广州分公司的议案，根据《深圳证券交易所创业板股票上市规则》、《深圳证券交易所创业板上市公司规范运作指引》、《公司章程》等有关规定，此事项属于公司董事会的审批权限，无需提请股东大会审议。</w:t>
      </w:r>
    </w:p>
    <w:p>
      <w:pPr>
        <w:tabs>
          <w:tab w:val="left" w:pos="1260"/>
        </w:tabs>
        <w:adjustRightInd w:val="0"/>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本次成立分公司事宜不构成关联交易，也不构成《上市公司重大资产重组管理办法》规定的重大资产重组，现将相关事项公告如下:</w:t>
      </w:r>
    </w:p>
    <w:p>
      <w:pPr>
        <w:pStyle w:val="3"/>
        <w:spacing w:line="360" w:lineRule="auto"/>
        <w:ind w:firstLine="480" w:firstLineChars="200"/>
        <w:jc w:val="both"/>
        <w:rPr>
          <w:rFonts w:ascii="仿宋" w:hAnsi="仿宋" w:eastAsia="仿宋" w:cs="Times New Roman"/>
          <w:color w:val="000000"/>
          <w:kern w:val="2"/>
        </w:rPr>
      </w:pPr>
    </w:p>
    <w:p>
      <w:pPr>
        <w:autoSpaceDE/>
        <w:autoSpaceDN/>
        <w:spacing w:line="360" w:lineRule="auto"/>
        <w:ind w:firstLine="482" w:firstLineChars="200"/>
        <w:jc w:val="both"/>
        <w:rPr>
          <w:rFonts w:ascii="仿宋" w:hAnsi="仿宋" w:eastAsia="仿宋" w:cs="Times New Roman"/>
          <w:b/>
          <w:color w:val="000000"/>
          <w:kern w:val="2"/>
          <w:sz w:val="24"/>
          <w:szCs w:val="24"/>
        </w:rPr>
      </w:pPr>
      <w:r>
        <w:rPr>
          <w:rFonts w:hint="eastAsia" w:ascii="仿宋" w:hAnsi="仿宋" w:eastAsia="仿宋" w:cs="Times New Roman"/>
          <w:b/>
          <w:color w:val="000000"/>
          <w:kern w:val="2"/>
          <w:sz w:val="24"/>
          <w:szCs w:val="24"/>
        </w:rPr>
        <w:t>一、拟成立分公司的基本情况</w:t>
      </w:r>
    </w:p>
    <w:p>
      <w:pPr>
        <w:tabs>
          <w:tab w:val="left" w:pos="1260"/>
        </w:tabs>
        <w:adjustRightInd w:val="0"/>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（一）江苏晶雪节能科技股份有限公司北京分公司</w:t>
      </w:r>
    </w:p>
    <w:p>
      <w:pPr>
        <w:tabs>
          <w:tab w:val="left" w:pos="1260"/>
        </w:tabs>
        <w:adjustRightInd w:val="0"/>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1.分公司名称：江苏晶雪节能科技股份有限公司北京分公司；</w:t>
      </w:r>
    </w:p>
    <w:p>
      <w:pPr>
        <w:tabs>
          <w:tab w:val="left" w:pos="1260"/>
        </w:tabs>
        <w:adjustRightInd w:val="0"/>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2.分公司类型：股份有限公司分公司；</w:t>
      </w:r>
    </w:p>
    <w:p>
      <w:pPr>
        <w:tabs>
          <w:tab w:val="left" w:pos="1260"/>
        </w:tabs>
        <w:adjustRightInd w:val="0"/>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3.分公司负责人：俞礼敬；</w:t>
      </w:r>
    </w:p>
    <w:p>
      <w:pPr>
        <w:tabs>
          <w:tab w:val="left" w:pos="1260"/>
        </w:tabs>
        <w:adjustRightInd w:val="0"/>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4.分公司经营场所：北京市（具体地址以实际签订房屋租赁合同确认）；</w:t>
      </w:r>
    </w:p>
    <w:p>
      <w:pPr>
        <w:tabs>
          <w:tab w:val="left" w:pos="1260"/>
        </w:tabs>
        <w:adjustRightInd w:val="0"/>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5.分公司经营范围：蔬菜、水果、肉食品、水产品的贮藏，保鲜的新设备（冷冻食品机械、冷库保温板），新型建筑节能板材（金属面硬质聚氨酯夹芯板、彩钢岩棉夹芯板），冷冻冷藏库门，工业门（滑升门、快速门），物流设备的开发与制造，机电设备安装，防腐保温工程施工。（依法须经批准的项目，经相关部门批准后方可展开经营活动）</w:t>
      </w:r>
    </w:p>
    <w:p>
      <w:pPr>
        <w:tabs>
          <w:tab w:val="left" w:pos="1260"/>
        </w:tabs>
        <w:adjustRightInd w:val="0"/>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（二）江苏晶雪节能科技股份有限公司成都分公司</w:t>
      </w:r>
    </w:p>
    <w:p>
      <w:pPr>
        <w:tabs>
          <w:tab w:val="left" w:pos="1260"/>
        </w:tabs>
        <w:adjustRightInd w:val="0"/>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1.分公司名称：江苏晶雪节能科技股份有限公司成都分公司；</w:t>
      </w:r>
    </w:p>
    <w:p>
      <w:pPr>
        <w:tabs>
          <w:tab w:val="left" w:pos="1260"/>
        </w:tabs>
        <w:adjustRightInd w:val="0"/>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2.分公司类型：股份有限公司分公司；</w:t>
      </w:r>
    </w:p>
    <w:p>
      <w:pPr>
        <w:tabs>
          <w:tab w:val="left" w:pos="1260"/>
        </w:tabs>
        <w:adjustRightInd w:val="0"/>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3.分公司负责人：李业盛；</w:t>
      </w:r>
    </w:p>
    <w:p>
      <w:pPr>
        <w:tabs>
          <w:tab w:val="left" w:pos="1260"/>
        </w:tabs>
        <w:adjustRightInd w:val="0"/>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4.分公司经营场所：成都市（具体地址以实际签订房屋租赁合同确认）；</w:t>
      </w:r>
    </w:p>
    <w:p>
      <w:pPr>
        <w:tabs>
          <w:tab w:val="left" w:pos="1260"/>
        </w:tabs>
        <w:adjustRightInd w:val="0"/>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5.分公司经营范围：蔬菜、水果、肉食品、水产品的贮藏，保鲜的新设备（冷冻食品机械、冷库保温板），新型建筑节能板材（金属面硬质聚氨酯夹芯板、彩钢岩棉夹芯板），冷冻冷藏库门，工业门（滑升门、快速门），物流设备的开发与制造，机电设备安装，防腐保温工程施工。（依法须经批准的项目，经相关部门批准后方可展开经营活动）</w:t>
      </w:r>
    </w:p>
    <w:p>
      <w:pPr>
        <w:tabs>
          <w:tab w:val="left" w:pos="1260"/>
        </w:tabs>
        <w:adjustRightInd w:val="0"/>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（三）江苏晶雪节能科技股份有限公司广州分公司</w:t>
      </w:r>
    </w:p>
    <w:p>
      <w:pPr>
        <w:tabs>
          <w:tab w:val="left" w:pos="1260"/>
        </w:tabs>
        <w:adjustRightInd w:val="0"/>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1.分公司名称：江苏晶雪节能科技股份有限公司广州分公司；</w:t>
      </w:r>
    </w:p>
    <w:p>
      <w:pPr>
        <w:tabs>
          <w:tab w:val="left" w:pos="1260"/>
        </w:tabs>
        <w:adjustRightInd w:val="0"/>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2.分公司类型：股份有限公司分公司；</w:t>
      </w:r>
    </w:p>
    <w:p>
      <w:pPr>
        <w:tabs>
          <w:tab w:val="left" w:pos="1260"/>
        </w:tabs>
        <w:adjustRightInd w:val="0"/>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3.分公司负责人：黄昉；</w:t>
      </w:r>
    </w:p>
    <w:p>
      <w:pPr>
        <w:tabs>
          <w:tab w:val="left" w:pos="1260"/>
        </w:tabs>
        <w:adjustRightInd w:val="0"/>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4.分公司经营场所：广州市（具体地址以实际签订房屋租赁合同确认）；</w:t>
      </w:r>
    </w:p>
    <w:p>
      <w:pPr>
        <w:tabs>
          <w:tab w:val="left" w:pos="1260"/>
        </w:tabs>
        <w:adjustRightInd w:val="0"/>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5.分公司经营范围：蔬菜、水果、肉食品、水产品的贮藏，保鲜的新设备（冷冻食品机械、冷库保温板），新型建筑节能板材（金属面硬质聚氨酯夹芯板、彩钢岩棉夹芯板），冷冻冷藏库门，工业门（滑升门、快速门），物流设备的开发与制造，机电设备安装，防腐保温工程施工。（依法须经批准的项目，经相关部门批准后方可展开经营活动）</w:t>
      </w:r>
    </w:p>
    <w:p>
      <w:pPr>
        <w:tabs>
          <w:tab w:val="left" w:pos="1260"/>
        </w:tabs>
        <w:adjustRightInd w:val="0"/>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上述拟成立分支机构的各项基本信息以注册地工商登记机关核准为准。</w:t>
      </w:r>
    </w:p>
    <w:p>
      <w:pPr>
        <w:tabs>
          <w:tab w:val="left" w:pos="1260"/>
        </w:tabs>
        <w:adjustRightInd w:val="0"/>
        <w:spacing w:line="360" w:lineRule="auto"/>
        <w:ind w:firstLine="480" w:firstLineChars="200"/>
        <w:jc w:val="both"/>
        <w:rPr>
          <w:rFonts w:ascii="仿宋" w:hAnsi="仿宋" w:eastAsia="仿宋" w:cs="Times New Roman"/>
          <w:color w:val="000000"/>
          <w:kern w:val="2"/>
          <w:sz w:val="24"/>
          <w:szCs w:val="24"/>
        </w:rPr>
      </w:pPr>
    </w:p>
    <w:p>
      <w:pPr>
        <w:autoSpaceDE/>
        <w:autoSpaceDN/>
        <w:spacing w:line="360" w:lineRule="auto"/>
        <w:ind w:firstLine="482" w:firstLineChars="200"/>
        <w:jc w:val="both"/>
        <w:rPr>
          <w:rFonts w:ascii="仿宋" w:hAnsi="仿宋" w:eastAsia="仿宋" w:cs="Times New Roman"/>
          <w:b/>
          <w:color w:val="000000"/>
          <w:kern w:val="2"/>
          <w:sz w:val="24"/>
          <w:szCs w:val="24"/>
        </w:rPr>
      </w:pPr>
      <w:r>
        <w:rPr>
          <w:rFonts w:hint="eastAsia" w:ascii="仿宋" w:hAnsi="仿宋" w:eastAsia="仿宋" w:cs="Times New Roman"/>
          <w:b/>
          <w:color w:val="000000"/>
          <w:kern w:val="2"/>
          <w:sz w:val="24"/>
          <w:szCs w:val="24"/>
        </w:rPr>
        <w:t xml:space="preserve">二、本次成立分公司目的、存在的风险和对公司的影响 </w:t>
      </w:r>
    </w:p>
    <w:p>
      <w:pPr>
        <w:tabs>
          <w:tab w:val="left" w:pos="1260"/>
        </w:tabs>
        <w:adjustRightInd w:val="0"/>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 xml:space="preserve">（一）成立分公司的目的 </w:t>
      </w:r>
    </w:p>
    <w:p>
      <w:pPr>
        <w:tabs>
          <w:tab w:val="left" w:pos="1260"/>
        </w:tabs>
        <w:adjustRightInd w:val="0"/>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 xml:space="preserve">本次成立分公司符合公司发展战略的需要，有助于最大限度地整合优质资源，优化公司的战略布局，扩大公司的影响力，提升公司的综合竞争力，以充分发挥公司的各方面优势。 </w:t>
      </w:r>
    </w:p>
    <w:p>
      <w:pPr>
        <w:tabs>
          <w:tab w:val="left" w:pos="1260"/>
        </w:tabs>
        <w:adjustRightInd w:val="0"/>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 xml:space="preserve">（二）成立分公司可能存在的风险 </w:t>
      </w:r>
    </w:p>
    <w:p>
      <w:pPr>
        <w:tabs>
          <w:tab w:val="left" w:pos="1260"/>
        </w:tabs>
        <w:adjustRightInd w:val="0"/>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 xml:space="preserve">本次成立分公司经公司董事会审议通过后，需按规定程序办理工商登记手续，不存在法律、法规限制或禁止的风险。 </w:t>
      </w:r>
    </w:p>
    <w:p>
      <w:pPr>
        <w:tabs>
          <w:tab w:val="left" w:pos="1260"/>
        </w:tabs>
        <w:adjustRightInd w:val="0"/>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 xml:space="preserve">本次成立分公司可能存在一定的市场风险、管理风险，公司将进一步规范公司治理结构,健全内控制度，组建良好的经营管理团队，不断加强内部控制和风险防范，以适应市场变化，满足业务发展的需求。公司董事会将积极关注该事项的进展，及时履行信息披露义务，敬请广大投资者注意风险。 </w:t>
      </w:r>
    </w:p>
    <w:p>
      <w:pPr>
        <w:tabs>
          <w:tab w:val="left" w:pos="1260"/>
        </w:tabs>
        <w:adjustRightInd w:val="0"/>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 xml:space="preserve">（三）成立分公司对公司的影响 </w:t>
      </w:r>
    </w:p>
    <w:p>
      <w:pPr>
        <w:tabs>
          <w:tab w:val="left" w:pos="1260"/>
        </w:tabs>
        <w:adjustRightInd w:val="0"/>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 xml:space="preserve">本次成立分公司符合公司的整体规划，不会对公司的财务及经营产生重大不利影响，不存在损害公司及全体股东利益的情形。从公司长期发展来看，对公司整体业务发展将产生积极的影响。 </w:t>
      </w:r>
    </w:p>
    <w:p>
      <w:pPr>
        <w:autoSpaceDE/>
        <w:autoSpaceDN/>
        <w:spacing w:line="360" w:lineRule="auto"/>
        <w:ind w:firstLine="480" w:firstLineChars="200"/>
        <w:jc w:val="both"/>
        <w:rPr>
          <w:rFonts w:ascii="仿宋" w:hAnsi="仿宋" w:eastAsia="仿宋" w:cs="Times New Roman"/>
          <w:color w:val="000000"/>
          <w:kern w:val="2"/>
          <w:sz w:val="24"/>
          <w:szCs w:val="24"/>
        </w:rPr>
      </w:pPr>
    </w:p>
    <w:p>
      <w:pPr>
        <w:autoSpaceDE/>
        <w:autoSpaceDN/>
        <w:spacing w:line="360" w:lineRule="auto"/>
        <w:ind w:firstLine="482" w:firstLineChars="200"/>
        <w:jc w:val="both"/>
        <w:rPr>
          <w:rFonts w:ascii="仿宋" w:hAnsi="仿宋" w:eastAsia="仿宋" w:cs="Times New Roman"/>
          <w:b/>
          <w:color w:val="000000"/>
          <w:kern w:val="2"/>
          <w:sz w:val="24"/>
          <w:szCs w:val="24"/>
        </w:rPr>
      </w:pPr>
      <w:r>
        <w:rPr>
          <w:rFonts w:hint="eastAsia" w:ascii="仿宋" w:hAnsi="仿宋" w:eastAsia="仿宋" w:cs="Times New Roman"/>
          <w:b/>
          <w:color w:val="000000"/>
          <w:kern w:val="2"/>
          <w:sz w:val="24"/>
          <w:szCs w:val="24"/>
        </w:rPr>
        <w:t>三、备查文件</w:t>
      </w:r>
    </w:p>
    <w:p>
      <w:pPr>
        <w:tabs>
          <w:tab w:val="left" w:pos="1260"/>
        </w:tabs>
        <w:adjustRightInd w:val="0"/>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1、第二届董事会第十五次会议决议；</w:t>
      </w:r>
    </w:p>
    <w:p>
      <w:pPr>
        <w:tabs>
          <w:tab w:val="left" w:pos="1260"/>
        </w:tabs>
        <w:adjustRightInd w:val="0"/>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2、深圳证券交易所要求的其他文件。</w:t>
      </w:r>
    </w:p>
    <w:p>
      <w:pPr>
        <w:tabs>
          <w:tab w:val="left" w:pos="1260"/>
        </w:tabs>
        <w:adjustRightInd w:val="0"/>
        <w:spacing w:line="360" w:lineRule="auto"/>
        <w:jc w:val="both"/>
        <w:rPr>
          <w:rFonts w:ascii="仿宋" w:hAnsi="仿宋" w:eastAsia="仿宋" w:cs="Times New Roman"/>
          <w:color w:val="000000"/>
          <w:kern w:val="2"/>
          <w:sz w:val="24"/>
          <w:szCs w:val="24"/>
        </w:rPr>
      </w:pPr>
    </w:p>
    <w:p>
      <w:pPr>
        <w:tabs>
          <w:tab w:val="left" w:pos="1260"/>
        </w:tabs>
        <w:adjustRightInd w:val="0"/>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特此公告。</w:t>
      </w:r>
    </w:p>
    <w:p>
      <w:pPr>
        <w:autoSpaceDE/>
        <w:autoSpaceDN/>
        <w:adjustRightInd w:val="0"/>
        <w:spacing w:line="360" w:lineRule="auto"/>
        <w:jc w:val="right"/>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江苏</w:t>
      </w:r>
      <w:r>
        <w:rPr>
          <w:rFonts w:ascii="仿宋" w:hAnsi="仿宋" w:eastAsia="仿宋" w:cs="Times New Roman"/>
          <w:color w:val="000000"/>
          <w:kern w:val="2"/>
          <w:sz w:val="24"/>
          <w:szCs w:val="24"/>
        </w:rPr>
        <w:t>晶雪节能科技股份有限公司董事会</w:t>
      </w:r>
    </w:p>
    <w:p>
      <w:pPr>
        <w:autoSpaceDE/>
        <w:autoSpaceDN/>
        <w:adjustRightInd w:val="0"/>
        <w:spacing w:line="360" w:lineRule="auto"/>
        <w:jc w:val="right"/>
        <w:rPr>
          <w:rFonts w:ascii="仿宋" w:hAnsi="仿宋" w:eastAsia="仿宋" w:cs="Times New Roman"/>
          <w:color w:val="000000"/>
          <w:kern w:val="2"/>
          <w:sz w:val="24"/>
          <w:szCs w:val="24"/>
        </w:rPr>
      </w:pPr>
      <w:r>
        <w:rPr>
          <w:rFonts w:ascii="仿宋" w:hAnsi="仿宋" w:eastAsia="仿宋" w:cs="Times New Roman"/>
          <w:color w:val="000000"/>
          <w:kern w:val="2"/>
          <w:sz w:val="24"/>
          <w:szCs w:val="24"/>
        </w:rPr>
        <w:t>2021年</w:t>
      </w:r>
      <w:r>
        <w:rPr>
          <w:rFonts w:hint="eastAsia" w:ascii="仿宋" w:hAnsi="仿宋" w:eastAsia="仿宋" w:cs="Times New Roman"/>
          <w:color w:val="000000"/>
          <w:kern w:val="2"/>
          <w:sz w:val="24"/>
          <w:szCs w:val="24"/>
        </w:rPr>
        <w:t>12</w:t>
      </w:r>
      <w:r>
        <w:rPr>
          <w:rFonts w:ascii="仿宋" w:hAnsi="仿宋" w:eastAsia="仿宋" w:cs="Times New Roman"/>
          <w:color w:val="000000"/>
          <w:kern w:val="2"/>
          <w:sz w:val="24"/>
          <w:szCs w:val="24"/>
        </w:rPr>
        <w:t>月</w:t>
      </w:r>
      <w:r>
        <w:rPr>
          <w:rFonts w:hint="eastAsia" w:ascii="仿宋" w:hAnsi="仿宋" w:eastAsia="仿宋" w:cs="Times New Roman"/>
          <w:color w:val="000000"/>
          <w:kern w:val="2"/>
          <w:sz w:val="24"/>
          <w:szCs w:val="24"/>
        </w:rPr>
        <w:t>8</w:t>
      </w:r>
      <w:r>
        <w:rPr>
          <w:rFonts w:ascii="仿宋" w:hAnsi="仿宋" w:eastAsia="仿宋" w:cs="Times New Roman"/>
          <w:color w:val="000000"/>
          <w:kern w:val="2"/>
          <w:sz w:val="24"/>
          <w:szCs w:val="24"/>
        </w:rPr>
        <w:t>日</w:t>
      </w:r>
    </w:p>
    <w:sectPr>
      <w:pgSz w:w="1191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trackRevisions w:val="1"/>
  <w:documentProtection w:enforcement="0"/>
  <w:defaultTabStop w:val="720"/>
  <w:drawingGridHorizontalSpacing w:val="110"/>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2"/>
  </w:compat>
  <w:rsids>
    <w:rsidRoot w:val="003E32FF"/>
    <w:rsid w:val="00023643"/>
    <w:rsid w:val="00062BBF"/>
    <w:rsid w:val="00096A5C"/>
    <w:rsid w:val="000E1652"/>
    <w:rsid w:val="001049E5"/>
    <w:rsid w:val="001363EF"/>
    <w:rsid w:val="00184DB0"/>
    <w:rsid w:val="00195209"/>
    <w:rsid w:val="00225739"/>
    <w:rsid w:val="00237A07"/>
    <w:rsid w:val="002A485E"/>
    <w:rsid w:val="002A4AAD"/>
    <w:rsid w:val="002A6B05"/>
    <w:rsid w:val="00382DED"/>
    <w:rsid w:val="003D395A"/>
    <w:rsid w:val="003E32FF"/>
    <w:rsid w:val="00430F56"/>
    <w:rsid w:val="004311B7"/>
    <w:rsid w:val="004504E4"/>
    <w:rsid w:val="00460944"/>
    <w:rsid w:val="00472BCE"/>
    <w:rsid w:val="004E35DF"/>
    <w:rsid w:val="004E7B15"/>
    <w:rsid w:val="00530415"/>
    <w:rsid w:val="00552FB4"/>
    <w:rsid w:val="005D7C49"/>
    <w:rsid w:val="00606B65"/>
    <w:rsid w:val="00626BE5"/>
    <w:rsid w:val="006C69EF"/>
    <w:rsid w:val="007028F2"/>
    <w:rsid w:val="00737666"/>
    <w:rsid w:val="00746363"/>
    <w:rsid w:val="0077396C"/>
    <w:rsid w:val="007B4D38"/>
    <w:rsid w:val="007E6F4A"/>
    <w:rsid w:val="00832CCC"/>
    <w:rsid w:val="008523B3"/>
    <w:rsid w:val="008645B8"/>
    <w:rsid w:val="0087797E"/>
    <w:rsid w:val="008A38E7"/>
    <w:rsid w:val="008F40EA"/>
    <w:rsid w:val="00907AA6"/>
    <w:rsid w:val="00911673"/>
    <w:rsid w:val="0097125C"/>
    <w:rsid w:val="009A14D5"/>
    <w:rsid w:val="009C21AD"/>
    <w:rsid w:val="009F40C1"/>
    <w:rsid w:val="00A00670"/>
    <w:rsid w:val="00A0508E"/>
    <w:rsid w:val="00A52233"/>
    <w:rsid w:val="00A92610"/>
    <w:rsid w:val="00AB4B44"/>
    <w:rsid w:val="00AD3B7B"/>
    <w:rsid w:val="00B36536"/>
    <w:rsid w:val="00B73544"/>
    <w:rsid w:val="00B92E46"/>
    <w:rsid w:val="00B95388"/>
    <w:rsid w:val="00BB3601"/>
    <w:rsid w:val="00BF3280"/>
    <w:rsid w:val="00C22ED4"/>
    <w:rsid w:val="00C4621C"/>
    <w:rsid w:val="00C65293"/>
    <w:rsid w:val="00C841C2"/>
    <w:rsid w:val="00C97169"/>
    <w:rsid w:val="00CA4619"/>
    <w:rsid w:val="00CB1818"/>
    <w:rsid w:val="00CB5B68"/>
    <w:rsid w:val="00CF2B22"/>
    <w:rsid w:val="00D01100"/>
    <w:rsid w:val="00DF1A41"/>
    <w:rsid w:val="00E01E5A"/>
    <w:rsid w:val="00E824B9"/>
    <w:rsid w:val="00EA3171"/>
    <w:rsid w:val="00EB0ECD"/>
    <w:rsid w:val="00F45CA3"/>
    <w:rsid w:val="00F558CE"/>
    <w:rsid w:val="00FD1935"/>
    <w:rsid w:val="00FE1B81"/>
    <w:rsid w:val="00FE6836"/>
    <w:rsid w:val="0CAB70F6"/>
    <w:rsid w:val="0DD97762"/>
    <w:rsid w:val="11F241A5"/>
    <w:rsid w:val="12A27958"/>
    <w:rsid w:val="15350AF1"/>
    <w:rsid w:val="164E6DCF"/>
    <w:rsid w:val="17760AF2"/>
    <w:rsid w:val="1E9658E9"/>
    <w:rsid w:val="1F561A9F"/>
    <w:rsid w:val="1F5A78E2"/>
    <w:rsid w:val="24C7636A"/>
    <w:rsid w:val="2C9750EB"/>
    <w:rsid w:val="2CD43785"/>
    <w:rsid w:val="2DA63EBB"/>
    <w:rsid w:val="2EF63B3E"/>
    <w:rsid w:val="37543384"/>
    <w:rsid w:val="37547412"/>
    <w:rsid w:val="39917020"/>
    <w:rsid w:val="3F4C7A9C"/>
    <w:rsid w:val="3F9905F8"/>
    <w:rsid w:val="417F4AF0"/>
    <w:rsid w:val="46F3394C"/>
    <w:rsid w:val="48CB7A71"/>
    <w:rsid w:val="5DA230D6"/>
    <w:rsid w:val="63263EE4"/>
    <w:rsid w:val="7BC12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1"/>
    <w:semiHidden/>
    <w:unhideWhenUsed/>
    <w:qFormat/>
    <w:uiPriority w:val="99"/>
  </w:style>
  <w:style w:type="paragraph" w:styleId="3">
    <w:name w:val="Body Text"/>
    <w:basedOn w:val="1"/>
    <w:qFormat/>
    <w:uiPriority w:val="1"/>
    <w:rPr>
      <w:sz w:val="24"/>
      <w:szCs w:val="24"/>
    </w:rPr>
  </w:style>
  <w:style w:type="paragraph" w:styleId="4">
    <w:name w:val="Balloon Text"/>
    <w:basedOn w:val="1"/>
    <w:link w:val="20"/>
    <w:semiHidden/>
    <w:unhideWhenUsed/>
    <w:qFormat/>
    <w:uiPriority w:val="99"/>
    <w:rPr>
      <w:sz w:val="18"/>
      <w:szCs w:val="18"/>
    </w:rPr>
  </w:style>
  <w:style w:type="paragraph" w:styleId="5">
    <w:name w:val="footer"/>
    <w:basedOn w:val="1"/>
    <w:link w:val="19"/>
    <w:semiHidden/>
    <w:unhideWhenUsed/>
    <w:qFormat/>
    <w:uiPriority w:val="99"/>
    <w:pPr>
      <w:tabs>
        <w:tab w:val="center" w:pos="4153"/>
        <w:tab w:val="right" w:pos="8306"/>
      </w:tabs>
      <w:snapToGrid w:val="0"/>
    </w:pPr>
    <w:rPr>
      <w:sz w:val="18"/>
      <w:szCs w:val="18"/>
    </w:rPr>
  </w:style>
  <w:style w:type="paragraph" w:styleId="6">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autoSpaceDE/>
      <w:autoSpaceDN/>
      <w:spacing w:before="100" w:beforeAutospacing="1" w:after="100" w:afterAutospacing="1"/>
    </w:pPr>
    <w:rPr>
      <w:color w:val="000000"/>
      <w:sz w:val="24"/>
      <w:szCs w:val="24"/>
    </w:rPr>
  </w:style>
  <w:style w:type="paragraph" w:styleId="8">
    <w:name w:val="Title"/>
    <w:basedOn w:val="1"/>
    <w:qFormat/>
    <w:uiPriority w:val="1"/>
    <w:pPr>
      <w:spacing w:before="232"/>
      <w:ind w:right="93"/>
      <w:jc w:val="center"/>
    </w:pPr>
    <w:rPr>
      <w:b/>
      <w:bCs/>
      <w:sz w:val="32"/>
      <w:szCs w:val="32"/>
    </w:rPr>
  </w:style>
  <w:style w:type="paragraph" w:styleId="9">
    <w:name w:val="annotation subject"/>
    <w:basedOn w:val="2"/>
    <w:next w:val="2"/>
    <w:link w:val="22"/>
    <w:semiHidden/>
    <w:unhideWhenUsed/>
    <w:qFormat/>
    <w:uiPriority w:val="99"/>
    <w:rPr>
      <w:b/>
      <w:bCs/>
    </w:rPr>
  </w:style>
  <w:style w:type="character" w:styleId="12">
    <w:name w:val="Hyperlink"/>
    <w:basedOn w:val="11"/>
    <w:semiHidden/>
    <w:unhideWhenUsed/>
    <w:qFormat/>
    <w:uiPriority w:val="99"/>
    <w:rPr>
      <w:color w:val="0000FF"/>
      <w:u w:val="single"/>
    </w:rPr>
  </w:style>
  <w:style w:type="character" w:styleId="13">
    <w:name w:val="annotation reference"/>
    <w:basedOn w:val="11"/>
    <w:semiHidden/>
    <w:unhideWhenUsed/>
    <w:qFormat/>
    <w:uiPriority w:val="99"/>
    <w:rPr>
      <w:sz w:val="21"/>
      <w:szCs w:val="21"/>
    </w:rPr>
  </w:style>
  <w:style w:type="table" w:customStyle="1" w:styleId="14">
    <w:name w:val="Table Normal"/>
    <w:semiHidden/>
    <w:unhideWhenUsed/>
    <w:qFormat/>
    <w:uiPriority w:val="2"/>
    <w:tblPr>
      <w:tblCellMar>
        <w:top w:w="0" w:type="dxa"/>
        <w:left w:w="0" w:type="dxa"/>
        <w:bottom w:w="0" w:type="dxa"/>
        <w:right w:w="0" w:type="dxa"/>
      </w:tblCellMar>
    </w:tblPr>
  </w:style>
  <w:style w:type="paragraph" w:customStyle="1" w:styleId="15">
    <w:name w:val="标题 11"/>
    <w:basedOn w:val="1"/>
    <w:qFormat/>
    <w:uiPriority w:val="1"/>
    <w:pPr>
      <w:ind w:left="602"/>
      <w:outlineLvl w:val="1"/>
    </w:pPr>
    <w:rPr>
      <w:b/>
      <w:bCs/>
      <w:sz w:val="24"/>
      <w:szCs w:val="24"/>
    </w:rPr>
  </w:style>
  <w:style w:type="paragraph" w:styleId="16">
    <w:name w:val="List Paragraph"/>
    <w:basedOn w:val="1"/>
    <w:qFormat/>
    <w:uiPriority w:val="1"/>
  </w:style>
  <w:style w:type="paragraph" w:customStyle="1" w:styleId="17">
    <w:name w:val="Table Paragraph"/>
    <w:basedOn w:val="1"/>
    <w:qFormat/>
    <w:uiPriority w:val="1"/>
  </w:style>
  <w:style w:type="character" w:customStyle="1" w:styleId="18">
    <w:name w:val="页眉 字符"/>
    <w:basedOn w:val="11"/>
    <w:link w:val="6"/>
    <w:semiHidden/>
    <w:qFormat/>
    <w:uiPriority w:val="99"/>
    <w:rPr>
      <w:rFonts w:ascii="宋体" w:hAnsi="宋体" w:eastAsia="宋体" w:cs="宋体"/>
      <w:sz w:val="18"/>
      <w:szCs w:val="18"/>
      <w:lang w:eastAsia="zh-CN"/>
    </w:rPr>
  </w:style>
  <w:style w:type="character" w:customStyle="1" w:styleId="19">
    <w:name w:val="页脚 字符"/>
    <w:basedOn w:val="11"/>
    <w:link w:val="5"/>
    <w:semiHidden/>
    <w:qFormat/>
    <w:uiPriority w:val="99"/>
    <w:rPr>
      <w:rFonts w:ascii="宋体" w:hAnsi="宋体" w:eastAsia="宋体" w:cs="宋体"/>
      <w:sz w:val="18"/>
      <w:szCs w:val="18"/>
      <w:lang w:eastAsia="zh-CN"/>
    </w:rPr>
  </w:style>
  <w:style w:type="character" w:customStyle="1" w:styleId="20">
    <w:name w:val="批注框文本 字符"/>
    <w:basedOn w:val="11"/>
    <w:link w:val="4"/>
    <w:semiHidden/>
    <w:qFormat/>
    <w:uiPriority w:val="99"/>
    <w:rPr>
      <w:rFonts w:ascii="宋体" w:hAnsi="宋体" w:eastAsia="宋体" w:cs="宋体"/>
      <w:sz w:val="18"/>
      <w:szCs w:val="18"/>
    </w:rPr>
  </w:style>
  <w:style w:type="character" w:customStyle="1" w:styleId="21">
    <w:name w:val="批注文字 字符"/>
    <w:basedOn w:val="11"/>
    <w:link w:val="2"/>
    <w:semiHidden/>
    <w:qFormat/>
    <w:uiPriority w:val="99"/>
    <w:rPr>
      <w:rFonts w:ascii="宋体" w:hAnsi="宋体" w:eastAsia="宋体" w:cs="宋体"/>
      <w:sz w:val="22"/>
      <w:szCs w:val="22"/>
    </w:rPr>
  </w:style>
  <w:style w:type="character" w:customStyle="1" w:styleId="22">
    <w:name w:val="批注主题 字符"/>
    <w:basedOn w:val="21"/>
    <w:link w:val="9"/>
    <w:semiHidden/>
    <w:qFormat/>
    <w:uiPriority w:val="99"/>
    <w:rPr>
      <w:rFonts w:ascii="宋体" w:hAnsi="宋体" w:eastAsia="宋体" w:cs="宋体"/>
      <w:b/>
      <w:bCs/>
      <w:sz w:val="22"/>
      <w:szCs w:val="22"/>
    </w:rPr>
  </w:style>
  <w:style w:type="paragraph" w:customStyle="1" w:styleId="23">
    <w:name w:val="Revision"/>
    <w:hidden/>
    <w:semiHidden/>
    <w:qFormat/>
    <w:uiPriority w:val="99"/>
    <w:rPr>
      <w:rFonts w:ascii="宋体" w:hAnsi="宋体" w:eastAsia="宋体" w:cs="宋体"/>
      <w:sz w:val="2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3</Pages>
  <Words>261</Words>
  <Characters>1488</Characters>
  <Lines>12</Lines>
  <Paragraphs>3</Paragraphs>
  <TotalTime>7</TotalTime>
  <ScaleCrop>false</ScaleCrop>
  <LinksUpToDate>false</LinksUpToDate>
  <CharactersWithSpaces>1746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2021-06-26T02:21:00Z</dcterms:created>
  <dc:creator>Administrator</dc:creator>
  <cp:lastModifiedBy>庄妍雨</cp:lastModifiedBy>
  <dcterms:modified xsi:type="dcterms:W3CDTF">2021-12-08T03:36:02Z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2021-06-26T00:00:00Z</vt:filetime>
  </property>
  <property fmtid="{D5CDD505-2E9C-101B-9397-08002B2CF9AE}" pid="3" name="Creator">
    <vt:lpwstr>Aspose Ltd.</vt:lpwstr>
  </property>
  <property fmtid="{D5CDD505-2E9C-101B-9397-08002B2CF9AE}" pid="4" name="LastSaved">
    <vt:filetime>2021-06-26T00:00:00Z</vt:filetime>
  </property>
  <property fmtid="{D5CDD505-2E9C-101B-9397-08002B2CF9AE}" pid="5" name="KSOProductBuildVer">
    <vt:lpwstr>2052-11.1.0.11115</vt:lpwstr>
  </property>
  <property fmtid="{D5CDD505-2E9C-101B-9397-08002B2CF9AE}" pid="6" name="ICV">
    <vt:lpwstr>6502422A802240E4810A1AAB050D888E</vt:lpwstr>
  </property>
</Properties>
</file>